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AB" w:rsidRDefault="005663AB">
      <w:pPr>
        <w:snapToGrid w:val="0"/>
        <w:ind w:left="-11"/>
        <w:jc w:val="center"/>
        <w:rPr>
          <w:rFonts w:ascii="仿宋_GB2312" w:eastAsia="仿宋_GB2312" w:hAnsi="宋体" w:cs="仿宋_GB2312"/>
          <w:bCs/>
          <w:color w:val="FF0000"/>
          <w:spacing w:val="-34"/>
          <w:sz w:val="76"/>
          <w:szCs w:val="76"/>
          <w:lang/>
        </w:rPr>
      </w:pPr>
    </w:p>
    <w:p w:rsidR="005663AB" w:rsidRDefault="005663AB">
      <w:pPr>
        <w:snapToGrid w:val="0"/>
        <w:ind w:left="-11"/>
        <w:jc w:val="center"/>
        <w:rPr>
          <w:rFonts w:ascii="仿宋_GB2312" w:eastAsia="仿宋_GB2312" w:hAnsi="宋体" w:cs="仿宋_GB2312"/>
          <w:bCs/>
          <w:color w:val="FF0000"/>
          <w:spacing w:val="-34"/>
          <w:sz w:val="76"/>
          <w:szCs w:val="76"/>
          <w:lang/>
        </w:rPr>
      </w:pPr>
    </w:p>
    <w:p w:rsidR="005663AB" w:rsidRDefault="005663AB">
      <w:pPr>
        <w:snapToGrid w:val="0"/>
        <w:ind w:left="-11"/>
        <w:jc w:val="center"/>
        <w:rPr>
          <w:rFonts w:ascii="仿宋_GB2312" w:eastAsia="仿宋_GB2312" w:hAnsi="宋体" w:cs="仿宋_GB2312"/>
          <w:color w:val="FF0000"/>
          <w:sz w:val="76"/>
          <w:szCs w:val="76"/>
        </w:rPr>
      </w:pPr>
      <w:r>
        <w:rPr>
          <w:rFonts w:ascii="华文中宋" w:eastAsia="华文中宋" w:hAnsi="华文中宋" w:cs="华文中宋" w:hint="eastAsia"/>
          <w:bCs/>
          <w:color w:val="FF0000"/>
          <w:spacing w:val="-34"/>
          <w:sz w:val="76"/>
          <w:szCs w:val="76"/>
          <w:lang/>
        </w:rPr>
        <w:t>河</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海</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大</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学</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部</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门</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文</w:t>
      </w:r>
      <w:r>
        <w:rPr>
          <w:rFonts w:ascii="华文中宋" w:eastAsia="华文中宋" w:hAnsi="华文中宋" w:cs="华文中宋"/>
          <w:bCs/>
          <w:color w:val="FF0000"/>
          <w:spacing w:val="-34"/>
          <w:sz w:val="76"/>
          <w:szCs w:val="76"/>
          <w:lang/>
        </w:rPr>
        <w:t xml:space="preserve"> </w:t>
      </w:r>
      <w:r>
        <w:rPr>
          <w:rFonts w:ascii="华文中宋" w:eastAsia="华文中宋" w:hAnsi="华文中宋" w:cs="华文中宋" w:hint="eastAsia"/>
          <w:bCs/>
          <w:color w:val="FF0000"/>
          <w:spacing w:val="-34"/>
          <w:sz w:val="76"/>
          <w:szCs w:val="76"/>
          <w:lang/>
        </w:rPr>
        <w:t>件</w:t>
      </w:r>
    </w:p>
    <w:p w:rsidR="005663AB" w:rsidRDefault="005663AB">
      <w:pPr>
        <w:snapToGrid w:val="0"/>
        <w:rPr>
          <w:rFonts w:ascii="仿宋_GB2312" w:eastAsia="仿宋_GB2312" w:cs="仿宋_GB2312"/>
        </w:rPr>
      </w:pPr>
    </w:p>
    <w:p w:rsidR="005663AB" w:rsidRDefault="005663AB">
      <w:pPr>
        <w:snapToGrid w:val="0"/>
        <w:rPr>
          <w:rFonts w:ascii="仿宋_GB2312" w:eastAsia="仿宋_GB2312" w:cs="仿宋_GB2312"/>
        </w:rPr>
      </w:pPr>
    </w:p>
    <w:p w:rsidR="005663AB" w:rsidRDefault="005663AB">
      <w:pPr>
        <w:snapToGrid w:val="0"/>
        <w:rPr>
          <w:rFonts w:ascii="仿宋_GB2312" w:eastAsia="仿宋_GB2312" w:cs="仿宋_GB2312"/>
        </w:rPr>
      </w:pPr>
    </w:p>
    <w:p w:rsidR="005663AB" w:rsidRDefault="005663AB">
      <w:pPr>
        <w:snapToGrid w:val="0"/>
        <w:rPr>
          <w:rFonts w:ascii="仿宋_GB2312" w:eastAsia="仿宋_GB2312" w:cs="仿宋_GB2312"/>
        </w:rPr>
      </w:pPr>
    </w:p>
    <w:p w:rsidR="005663AB" w:rsidRDefault="005663AB">
      <w:pPr>
        <w:snapToGrid w:val="0"/>
        <w:rPr>
          <w:rFonts w:ascii="仿宋_GB2312" w:eastAsia="仿宋_GB2312" w:cs="仿宋_GB2312"/>
        </w:rPr>
      </w:pPr>
    </w:p>
    <w:p w:rsidR="005663AB" w:rsidRDefault="005663AB" w:rsidP="003D2D88">
      <w:pPr>
        <w:spacing w:beforeLines="50"/>
        <w:jc w:val="center"/>
        <w:rPr>
          <w:rFonts w:ascii="仿宋_GB2312" w:eastAsia="仿宋_GB2312" w:hAnsi="宋体" w:cs="仿宋_GB2312"/>
          <w:sz w:val="32"/>
          <w:szCs w:val="44"/>
        </w:rPr>
      </w:pPr>
      <w:r>
        <w:rPr>
          <w:rFonts w:ascii="仿宋_GB2312" w:eastAsia="仿宋_GB2312" w:hAnsi="宋体" w:cs="仿宋_GB2312" w:hint="eastAsia"/>
          <w:sz w:val="32"/>
          <w:szCs w:val="44"/>
          <w:lang/>
        </w:rPr>
        <w:t>河海研</w:t>
      </w:r>
      <w:r>
        <w:rPr>
          <w:rFonts w:ascii="仿宋_GB2312" w:eastAsia="仿宋_GB2312" w:hAnsi="宋体" w:cs="仿宋_GB2312"/>
          <w:sz w:val="32"/>
          <w:szCs w:val="44"/>
          <w:lang/>
        </w:rPr>
        <w:t xml:space="preserve">[2016] 63 </w:t>
      </w:r>
      <w:r>
        <w:rPr>
          <w:rFonts w:ascii="仿宋_GB2312" w:eastAsia="仿宋_GB2312" w:hAnsi="宋体" w:cs="仿宋_GB2312" w:hint="eastAsia"/>
          <w:sz w:val="32"/>
          <w:szCs w:val="44"/>
          <w:lang/>
        </w:rPr>
        <w:t>号</w:t>
      </w:r>
    </w:p>
    <w:p w:rsidR="005663AB" w:rsidRDefault="005663AB" w:rsidP="003D2D88">
      <w:pPr>
        <w:widowControl/>
        <w:adjustRightInd w:val="0"/>
        <w:snapToGrid w:val="0"/>
        <w:spacing w:beforeLines="50"/>
        <w:rPr>
          <w:rFonts w:ascii="仿宋_GB2312" w:eastAsia="仿宋_GB2312" w:hAnsi="宋体" w:cs="仿宋_GB2312"/>
          <w:sz w:val="32"/>
          <w:szCs w:val="44"/>
          <w:lang/>
        </w:rPr>
      </w:pPr>
      <w:r>
        <w:rPr>
          <w:noProof/>
        </w:rPr>
        <w:pict>
          <v:line id="直线 2" o:spid="_x0000_s1026" style="position:absolute;left:0;text-align:left;z-index:251658240" from="0,6.5pt" to="442.2pt,6.5pt" strokecolor="red">
            <w10:wrap type="topAndBottom"/>
          </v:line>
        </w:pict>
      </w:r>
    </w:p>
    <w:p w:rsidR="005663AB" w:rsidRDefault="005663AB" w:rsidP="003D2D88">
      <w:pPr>
        <w:widowControl/>
        <w:adjustRightInd w:val="0"/>
        <w:snapToGrid w:val="0"/>
        <w:spacing w:beforeLines="50" w:line="640" w:lineRule="exact"/>
        <w:jc w:val="center"/>
        <w:rPr>
          <w:rFonts w:ascii="方正小标宋简体" w:eastAsia="方正小标宋简体" w:hAnsi="华文中宋" w:cs="宋体"/>
          <w:bCs/>
          <w:kern w:val="0"/>
          <w:sz w:val="44"/>
          <w:szCs w:val="44"/>
          <w:lang/>
        </w:rPr>
      </w:pPr>
      <w:r>
        <w:rPr>
          <w:rFonts w:ascii="方正小标宋简体" w:eastAsia="方正小标宋简体" w:hAnsi="华文中宋" w:cs="宋体" w:hint="eastAsia"/>
          <w:bCs/>
          <w:kern w:val="0"/>
          <w:sz w:val="44"/>
          <w:szCs w:val="44"/>
          <w:lang/>
        </w:rPr>
        <w:t>关于印发《河海大学研究生荣誉称号、国家奖学金及专项奖学金评审流程》的通知</w:t>
      </w:r>
    </w:p>
    <w:p w:rsidR="005663AB" w:rsidRDefault="005663AB"/>
    <w:p w:rsidR="005663AB" w:rsidRDefault="005663AB">
      <w:pPr>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研究生荣誉称号及奖学金评审流程，有效发挥研究生荣誉称号、国家奖学金及专项奖学金在研究生培养过程的激励引导作用，促进研究生德、智、体、美全面发展，现制定《河海大学研究生荣誉称号、国家奖学金及专项奖学金评审流程》。该办法经研究生院讨论通过，现予以印发，请遵照执行。</w:t>
      </w:r>
    </w:p>
    <w:p w:rsidR="005663AB" w:rsidRDefault="005663AB">
      <w:pPr>
        <w:ind w:firstLine="645"/>
        <w:rPr>
          <w:rFonts w:ascii="仿宋_GB2312" w:eastAsia="仿宋_GB2312" w:hAnsi="仿宋_GB2312" w:cs="仿宋_GB2312"/>
          <w:sz w:val="32"/>
          <w:szCs w:val="32"/>
        </w:rPr>
      </w:pPr>
    </w:p>
    <w:p w:rsidR="005663AB" w:rsidRDefault="005663AB">
      <w:pPr>
        <w:ind w:firstLine="645"/>
        <w:rPr>
          <w:rFonts w:ascii="仿宋_GB2312" w:eastAsia="仿宋_GB2312" w:hAnsi="仿宋_GB2312" w:cs="仿宋_GB2312"/>
          <w:sz w:val="32"/>
          <w:szCs w:val="32"/>
        </w:rPr>
      </w:pPr>
    </w:p>
    <w:p w:rsidR="005663AB" w:rsidRDefault="005663AB">
      <w:pPr>
        <w:ind w:firstLine="645"/>
        <w:rPr>
          <w:rFonts w:ascii="仿宋_GB2312" w:eastAsia="仿宋_GB2312" w:hAnsi="仿宋_GB2312" w:cs="仿宋_GB2312"/>
          <w:sz w:val="32"/>
          <w:szCs w:val="32"/>
        </w:rPr>
      </w:pP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河海大学研究生荣誉称号、国家奖学金及专项奖学金评审流程</w:t>
      </w: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5663AB" w:rsidRDefault="005663AB">
      <w:pPr>
        <w:ind w:firstLine="645"/>
        <w:rPr>
          <w:rFonts w:ascii="仿宋_GB2312" w:eastAsia="仿宋_GB2312" w:hAnsi="仿宋_GB2312" w:cs="仿宋_GB2312"/>
          <w:sz w:val="32"/>
          <w:szCs w:val="32"/>
        </w:rPr>
      </w:pPr>
    </w:p>
    <w:p w:rsidR="005663AB" w:rsidRDefault="005663AB">
      <w:pPr>
        <w:ind w:firstLine="645"/>
        <w:rPr>
          <w:rFonts w:ascii="仿宋_GB2312" w:eastAsia="仿宋_GB2312" w:hAnsi="仿宋_GB2312" w:cs="仿宋_GB2312"/>
          <w:sz w:val="32"/>
          <w:szCs w:val="32"/>
        </w:rPr>
      </w:pPr>
    </w:p>
    <w:p w:rsidR="005663AB" w:rsidRDefault="005663AB">
      <w:pPr>
        <w:ind w:firstLine="645"/>
        <w:rPr>
          <w:rFonts w:ascii="仿宋_GB2312" w:eastAsia="仿宋_GB2312" w:hAnsi="仿宋_GB2312" w:cs="仿宋_GB2312"/>
          <w:sz w:val="32"/>
          <w:szCs w:val="32"/>
        </w:rPr>
      </w:pPr>
    </w:p>
    <w:p w:rsidR="005663AB" w:rsidRDefault="005663A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究</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院</w:t>
      </w:r>
    </w:p>
    <w:p w:rsidR="005663AB" w:rsidRDefault="005663A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党委研究生工作部</w:t>
      </w:r>
    </w:p>
    <w:p w:rsidR="005663AB" w:rsidRDefault="005663AB">
      <w:pPr>
        <w:jc w:val="right"/>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5"/>
          <w:attr w:name="Month" w:val="11"/>
          <w:attr w:name="Year" w:val="2016"/>
        </w:smartTag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smartTag>
    </w:p>
    <w:p w:rsidR="005663AB" w:rsidRDefault="005663AB">
      <w:pPr>
        <w:ind w:firstLine="645"/>
        <w:rPr>
          <w:rFonts w:ascii="仿宋_GB2312" w:eastAsia="仿宋_GB2312" w:hAnsi="仿宋_GB2312" w:cs="仿宋_GB2312"/>
          <w:sz w:val="32"/>
          <w:szCs w:val="32"/>
        </w:rPr>
      </w:pPr>
    </w:p>
    <w:p w:rsidR="005663AB" w:rsidRDefault="005663AB">
      <w:pPr>
        <w:pStyle w:val="Title"/>
        <w:jc w:val="both"/>
        <w:rPr>
          <w:rFonts w:ascii="方正小标宋简体" w:eastAsia="方正小标宋简体" w:hAnsi="华文中宋" w:cs="宋体"/>
          <w:b w:val="0"/>
          <w:bCs w:val="0"/>
          <w:sz w:val="44"/>
          <w:szCs w:val="44"/>
        </w:rPr>
      </w:pPr>
    </w:p>
    <w:p w:rsidR="005663AB" w:rsidRDefault="005663AB">
      <w:pPr>
        <w:pStyle w:val="Title"/>
        <w:jc w:val="left"/>
        <w:rPr>
          <w:rFonts w:ascii="??" w:hAnsi="??" w:cs="宋体"/>
          <w:b w:val="0"/>
          <w:bCs w:val="0"/>
        </w:rPr>
      </w:pPr>
    </w:p>
    <w:p w:rsidR="005663AB" w:rsidRDefault="005663AB" w:rsidP="005B55EA"/>
    <w:p w:rsidR="005663AB" w:rsidRDefault="005663AB" w:rsidP="005B55EA"/>
    <w:p w:rsidR="005663AB" w:rsidRDefault="005663AB" w:rsidP="005B55EA"/>
    <w:p w:rsidR="005663AB" w:rsidRDefault="005663AB" w:rsidP="005B55EA"/>
    <w:p w:rsidR="005663AB" w:rsidRDefault="005663AB" w:rsidP="005B55EA"/>
    <w:p w:rsidR="005663AB" w:rsidRDefault="005663AB" w:rsidP="005B55EA"/>
    <w:p w:rsidR="005663AB" w:rsidRDefault="005663AB" w:rsidP="005B55EA"/>
    <w:p w:rsidR="005663AB" w:rsidRDefault="005663AB">
      <w:pPr>
        <w:pStyle w:val="Title"/>
        <w:jc w:val="left"/>
        <w:rPr>
          <w:rFonts w:ascii="Calibri" w:hAnsi="Calibri"/>
          <w:b w:val="0"/>
          <w:bCs w:val="0"/>
          <w:sz w:val="21"/>
          <w:szCs w:val="22"/>
        </w:rPr>
      </w:pPr>
    </w:p>
    <w:p w:rsidR="005663AB" w:rsidRDefault="005663AB" w:rsidP="005B55EA"/>
    <w:p w:rsidR="005663AB" w:rsidRPr="005B55EA" w:rsidRDefault="005663AB" w:rsidP="005B55EA"/>
    <w:p w:rsidR="005663AB" w:rsidRDefault="005663AB" w:rsidP="005B55EA">
      <w:pPr>
        <w:pBdr>
          <w:top w:val="single" w:sz="12" w:space="2" w:color="auto"/>
        </w:pBdr>
        <w:snapToGrid w:val="0"/>
        <w:ind w:firstLineChars="50" w:firstLine="31680"/>
        <w:jc w:val="left"/>
        <w:rPr>
          <w:rFonts w:ascii="仿宋_GB2312" w:eastAsia="仿宋_GB2312"/>
          <w:sz w:val="28"/>
          <w:szCs w:val="28"/>
        </w:rPr>
      </w:pPr>
      <w:r>
        <w:rPr>
          <w:rFonts w:ascii="仿宋_GB2312" w:eastAsia="仿宋_GB2312" w:hint="eastAsia"/>
          <w:sz w:val="28"/>
          <w:szCs w:val="28"/>
        </w:rPr>
        <w:t>河海大学研究生院</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4"/>
          <w:attr w:name="Month" w:val="11"/>
          <w:attr w:name="Year" w:val="2015"/>
        </w:smartTagP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4</w:t>
        </w:r>
        <w:r>
          <w:rPr>
            <w:rFonts w:ascii="仿宋_GB2312" w:eastAsia="仿宋_GB2312" w:hint="eastAsia"/>
            <w:sz w:val="28"/>
            <w:szCs w:val="28"/>
          </w:rPr>
          <w:t>日</w:t>
        </w:r>
      </w:smartTag>
      <w:r>
        <w:rPr>
          <w:rFonts w:ascii="仿宋_GB2312" w:eastAsia="仿宋_GB2312"/>
          <w:sz w:val="28"/>
          <w:szCs w:val="28"/>
        </w:rPr>
        <w:t xml:space="preserve"> </w:t>
      </w:r>
      <w:r>
        <w:rPr>
          <w:rFonts w:ascii="仿宋_GB2312" w:eastAsia="仿宋_GB2312" w:hint="eastAsia"/>
          <w:sz w:val="28"/>
          <w:szCs w:val="28"/>
        </w:rPr>
        <w:t>印发</w:t>
      </w:r>
    </w:p>
    <w:p w:rsidR="005663AB" w:rsidRPr="005B55EA" w:rsidRDefault="005663AB" w:rsidP="005B55EA">
      <w:pPr>
        <w:pBdr>
          <w:top w:val="single" w:sz="8" w:space="1" w:color="auto"/>
          <w:bottom w:val="single" w:sz="12" w:space="1" w:color="auto"/>
        </w:pBdr>
        <w:snapToGrid w:val="0"/>
        <w:ind w:firstLineChars="50" w:firstLine="31680"/>
        <w:rPr>
          <w:rFonts w:ascii="??" w:hAnsi="??" w:cs="宋体"/>
        </w:rPr>
      </w:pPr>
      <w:r>
        <w:rPr>
          <w:rFonts w:ascii="仿宋_GB2312" w:eastAsia="仿宋_GB2312" w:hint="eastAsia"/>
          <w:sz w:val="28"/>
          <w:szCs w:val="28"/>
        </w:rPr>
        <w:t>录入：杨</w:t>
      </w:r>
      <w:r>
        <w:rPr>
          <w:rFonts w:ascii="仿宋_GB2312" w:eastAsia="仿宋_GB2312"/>
          <w:sz w:val="28"/>
          <w:szCs w:val="28"/>
        </w:rPr>
        <w:t xml:space="preserve">  </w:t>
      </w:r>
      <w:r>
        <w:rPr>
          <w:rFonts w:ascii="仿宋_GB2312" w:eastAsia="仿宋_GB2312" w:hint="eastAsia"/>
          <w:sz w:val="28"/>
          <w:szCs w:val="28"/>
        </w:rPr>
        <w:t>勇</w:t>
      </w:r>
      <w:r>
        <w:rPr>
          <w:rFonts w:ascii="仿宋_GB2312" w:eastAsia="仿宋_GB2312"/>
          <w:sz w:val="28"/>
          <w:szCs w:val="28"/>
        </w:rPr>
        <w:t xml:space="preserve">                                  </w:t>
      </w:r>
      <w:r>
        <w:rPr>
          <w:rFonts w:ascii="仿宋_GB2312" w:eastAsia="仿宋_GB2312" w:hint="eastAsia"/>
          <w:sz w:val="28"/>
        </w:rPr>
        <w:t>校对：王书昆</w:t>
      </w:r>
      <w:bookmarkStart w:id="0" w:name="_GoBack"/>
      <w:bookmarkEnd w:id="0"/>
    </w:p>
    <w:p w:rsidR="005663AB" w:rsidRDefault="005663AB">
      <w:pPr>
        <w:pStyle w:val="Title"/>
        <w:jc w:val="left"/>
        <w:rPr>
          <w:rFonts w:ascii="??" w:eastAsia="Times New Roman" w:hAnsi="??" w:cs="宋体"/>
          <w:b w:val="0"/>
          <w:bCs w:val="0"/>
        </w:rPr>
      </w:pPr>
      <w:r>
        <w:rPr>
          <w:rFonts w:ascii="??" w:eastAsia="Times New Roman" w:hAnsi="??" w:cs="宋体"/>
          <w:b w:val="0"/>
          <w:bCs w:val="0"/>
        </w:rPr>
        <w:t>附件：</w:t>
      </w:r>
    </w:p>
    <w:p w:rsidR="005663AB" w:rsidRDefault="005663AB" w:rsidP="003D2D88">
      <w:pPr>
        <w:widowControl/>
        <w:adjustRightInd w:val="0"/>
        <w:snapToGrid w:val="0"/>
        <w:spacing w:beforeLines="50" w:line="560" w:lineRule="exact"/>
        <w:jc w:val="center"/>
        <w:rPr>
          <w:rFonts w:ascii="方正小标宋简体" w:eastAsia="方正小标宋简体" w:hAnsi="华文中宋" w:cs="宋体"/>
          <w:bCs/>
          <w:kern w:val="0"/>
          <w:sz w:val="36"/>
          <w:szCs w:val="36"/>
          <w:lang/>
        </w:rPr>
      </w:pPr>
      <w:r>
        <w:rPr>
          <w:rFonts w:ascii="方正小标宋简体" w:eastAsia="方正小标宋简体" w:hAnsi="华文中宋" w:cs="宋体" w:hint="eastAsia"/>
          <w:bCs/>
          <w:kern w:val="0"/>
          <w:sz w:val="36"/>
          <w:szCs w:val="36"/>
          <w:lang/>
        </w:rPr>
        <w:t>河海大学研究生荣誉称号、国家奖学金</w:t>
      </w:r>
    </w:p>
    <w:p w:rsidR="005663AB" w:rsidRDefault="005663AB" w:rsidP="003D2D88">
      <w:pPr>
        <w:widowControl/>
        <w:adjustRightInd w:val="0"/>
        <w:snapToGrid w:val="0"/>
        <w:spacing w:beforeLines="50"/>
        <w:jc w:val="center"/>
        <w:rPr>
          <w:rFonts w:ascii="方正小标宋简体" w:eastAsia="方正小标宋简体" w:hAnsi="华文中宋" w:cs="宋体"/>
          <w:bCs/>
          <w:kern w:val="0"/>
          <w:sz w:val="36"/>
          <w:szCs w:val="36"/>
          <w:lang/>
        </w:rPr>
      </w:pPr>
      <w:r>
        <w:rPr>
          <w:rFonts w:ascii="方正小标宋简体" w:eastAsia="方正小标宋简体" w:hAnsi="华文中宋" w:cs="宋体" w:hint="eastAsia"/>
          <w:bCs/>
          <w:kern w:val="0"/>
          <w:sz w:val="36"/>
          <w:szCs w:val="36"/>
          <w:lang/>
        </w:rPr>
        <w:t>及专项奖学金评审流程</w:t>
      </w:r>
    </w:p>
    <w:p w:rsidR="005663AB" w:rsidRDefault="005663AB" w:rsidP="003D2D88">
      <w:pPr>
        <w:spacing w:beforeLines="5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为进一步规范研究生荣誉称号及奖学金评审流程，有效发挥研究生荣誉称号、国家奖学金及专项奖学金在研究生培养过程的激励引导作用，促进研究生德、智、体、美全面发展，特制定本办法。</w:t>
      </w:r>
      <w:r>
        <w:rPr>
          <w:rFonts w:ascii="仿宋_GB2312" w:eastAsia="仿宋_GB2312" w:hAnsi="仿宋_GB2312" w:cs="仿宋_GB2312"/>
          <w:sz w:val="32"/>
          <w:szCs w:val="32"/>
        </w:rPr>
        <w:t xml:space="preserve"> </w:t>
      </w:r>
    </w:p>
    <w:p w:rsidR="005663AB" w:rsidRDefault="005663AB">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适用范围</w:t>
      </w:r>
    </w:p>
    <w:p w:rsidR="005663AB" w:rsidRDefault="005663AB">
      <w:pPr>
        <w:rPr>
          <w:rFonts w:ascii="仿宋_GB2312" w:eastAsia="仿宋_GB2312" w:hAnsi="仿宋_GB2312" w:cs="仿宋_GB2312"/>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各类研究生荣誉称号：</w:t>
      </w:r>
    </w:p>
    <w:p w:rsidR="005663AB" w:rsidRDefault="005663AB">
      <w:pPr>
        <w:ind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优秀研究生、优秀研究生干部、</w:t>
      </w:r>
      <w:r>
        <w:rPr>
          <w:rFonts w:ascii="仿宋_GB2312" w:eastAsia="仿宋_GB2312" w:hint="eastAsia"/>
          <w:sz w:val="32"/>
          <w:szCs w:val="32"/>
          <w:lang/>
        </w:rPr>
        <w:t>研究生先进班集体、研究生科技之星等。</w:t>
      </w:r>
    </w:p>
    <w:p w:rsidR="005663AB" w:rsidRDefault="005663AB">
      <w:pPr>
        <w:ind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研究生国家奖学金。</w:t>
      </w:r>
    </w:p>
    <w:p w:rsidR="005663AB" w:rsidRDefault="005663AB">
      <w:pPr>
        <w:ind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研究生院负责评审的专项奖学金：</w:t>
      </w:r>
    </w:p>
    <w:p w:rsidR="005663AB" w:rsidRDefault="005663AB">
      <w:pPr>
        <w:ind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严恺奖学金、徐芝纶力学奖学金、钱正英奖助学金、张光斗奖学金、潘家铮水电奖学金、宝钢奖学金等。</w:t>
      </w:r>
    </w:p>
    <w:p w:rsidR="005663AB" w:rsidRDefault="005663AB">
      <w:pPr>
        <w:numPr>
          <w:ilvl w:val="0"/>
          <w:numId w:val="2"/>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评审机构</w:t>
      </w:r>
    </w:p>
    <w:p w:rsidR="005663AB" w:rsidRDefault="005663AB">
      <w:pPr>
        <w:rPr>
          <w:rFonts w:ascii="仿宋_GB2312" w:eastAsia="仿宋_GB2312" w:hAnsi="仿宋_GB2312" w:cs="仿宋_GB2312"/>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由研究生院在评审专家库中随机产生的评审专家及研究生院领导组成评审组。</w:t>
      </w:r>
      <w:r>
        <w:rPr>
          <w:rFonts w:ascii="仿宋_GB2312" w:eastAsia="仿宋_GB2312" w:hAnsi="仿宋_GB2312" w:cs="仿宋_GB2312"/>
          <w:sz w:val="32"/>
          <w:szCs w:val="32"/>
        </w:rPr>
        <w:t xml:space="preserve"> </w:t>
      </w:r>
    </w:p>
    <w:p w:rsidR="005663AB" w:rsidRDefault="005663AB">
      <w:pPr>
        <w:widowControl/>
        <w:shd w:val="clear" w:color="auto" w:fill="FFFFFF"/>
        <w:spacing w:line="400"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（一）评审组产生程序：</w:t>
      </w:r>
    </w:p>
    <w:p w:rsidR="005663AB" w:rsidRDefault="005663AB" w:rsidP="005B55EA">
      <w:pPr>
        <w:widowControl/>
        <w:shd w:val="clear" w:color="auto" w:fill="FFFFFF"/>
        <w:spacing w:line="400" w:lineRule="atLeas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建立由各学院推荐的研究生导师代表、相关职能部门代表组成的评审专家库（以下简称“专家库”），导师代表按照土木水利、信息、经管、基础学科等类学科类别分设四组，职能部门代表分设三组，共七组。</w:t>
      </w:r>
      <w:r>
        <w:rPr>
          <w:rFonts w:ascii="仿宋_GB2312" w:eastAsia="仿宋_GB2312" w:hAnsi="仿宋_GB2312" w:cs="仿宋_GB2312"/>
          <w:sz w:val="32"/>
          <w:szCs w:val="32"/>
        </w:rPr>
        <w:t xml:space="preserve"> </w:t>
      </w:r>
    </w:p>
    <w:p w:rsidR="005663AB" w:rsidRDefault="005663AB" w:rsidP="005B55EA">
      <w:pPr>
        <w:widowControl/>
        <w:shd w:val="clear" w:color="auto" w:fill="FFFFFF"/>
        <w:spacing w:line="400" w:lineRule="atLeas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根据评审内容，遵循回避原则在专家库中随机产生评审专家，每组抽取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人，依次与专家联系，确认评审专家名单，组成评审组，评审组成员应为单数，人数不少于</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人。</w:t>
      </w:r>
    </w:p>
    <w:p w:rsidR="005663AB" w:rsidRDefault="005663AB">
      <w:pPr>
        <w:widowControl/>
        <w:shd w:val="clear" w:color="auto" w:fill="FFFFFF"/>
        <w:spacing w:line="400"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评审工作由研究生院组织实施。</w:t>
      </w:r>
      <w:r>
        <w:rPr>
          <w:rFonts w:ascii="仿宋_GB2312" w:eastAsia="仿宋_GB2312" w:hAnsi="仿宋_GB2312" w:cs="仿宋_GB2312"/>
          <w:sz w:val="32"/>
          <w:szCs w:val="32"/>
        </w:rPr>
        <w:t xml:space="preserve"> </w:t>
      </w:r>
    </w:p>
    <w:p w:rsidR="005663AB" w:rsidRDefault="005663AB">
      <w:pPr>
        <w:widowControl/>
        <w:shd w:val="clear" w:color="auto" w:fill="FFFFFF"/>
        <w:spacing w:line="400" w:lineRule="atLeast"/>
        <w:ind w:firstLine="56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（二）评审原则：</w:t>
      </w:r>
    </w:p>
    <w:p w:rsidR="005663AB" w:rsidRDefault="005663AB">
      <w:pPr>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平等原则，即在评审过程中，积极听取其他评审专家的意见，坚持平等、合理、客观的评价态度进行评审</w:t>
      </w:r>
      <w:r>
        <w:rPr>
          <w:rFonts w:ascii="仿宋_GB2312" w:eastAsia="仿宋_GB2312" w:hAnsi="仿宋_GB2312" w:cs="仿宋_GB2312"/>
          <w:sz w:val="32"/>
          <w:szCs w:val="32"/>
        </w:rPr>
        <w:t xml:space="preserve">;    </w:t>
      </w:r>
    </w:p>
    <w:p w:rsidR="005663AB" w:rsidRDefault="005663AB">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回避原则，即发生与评审对象存在亲属关系、直接经济利益关系或有其他可能影响评审工作公平公正的情形时，应主动向评审组申请回避</w:t>
      </w:r>
      <w:r>
        <w:rPr>
          <w:rFonts w:ascii="仿宋_GB2312" w:eastAsia="仿宋_GB2312" w:hAnsi="仿宋_GB2312" w:cs="仿宋_GB2312"/>
          <w:sz w:val="32"/>
          <w:szCs w:val="32"/>
        </w:rPr>
        <w:t>;</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公正原则，即不得利用评审专家的特殊身份和影响力，单独或与有关人员共同为评审对象提供获奖便利</w:t>
      </w:r>
      <w:r>
        <w:rPr>
          <w:rFonts w:ascii="仿宋_GB2312" w:eastAsia="仿宋_GB2312" w:hAnsi="仿宋_GB2312" w:cs="仿宋_GB2312"/>
          <w:sz w:val="32"/>
          <w:szCs w:val="32"/>
        </w:rPr>
        <w:t>;</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保密原则，即不得擅自披露评审结果及其他评审专家的意见等相关保密信息。</w:t>
      </w:r>
    </w:p>
    <w:p w:rsidR="005663AB" w:rsidRDefault="005663A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三、评审程序</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评审会一般按下列程序进行：</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研究生院宣布评审组成员名单并由全体专家推荐产生一名评审组长。</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研究生院介绍各奖项评定细则、申报审核情况。</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评审组组长主持评审工作：评审组评阅申报材料；经评审组成员讨论、酝酿后形成初步意见；采取“不记名投票”等投票方式进行表决，并产生最终排序结果。</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评审组组长宣读评审结果，评审组成员在评审表决票签字。</w:t>
      </w:r>
    </w:p>
    <w:p w:rsidR="005663AB" w:rsidRDefault="005663AB">
      <w:pPr>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评审组组长进行评审会议小结。</w:t>
      </w:r>
      <w:r>
        <w:rPr>
          <w:rFonts w:ascii="仿宋_GB2312" w:eastAsia="仿宋_GB2312" w:hAnsi="仿宋_GB2312" w:cs="仿宋_GB2312"/>
          <w:sz w:val="32"/>
          <w:szCs w:val="32"/>
        </w:rPr>
        <w:t xml:space="preserve"> </w:t>
      </w:r>
    </w:p>
    <w:p w:rsidR="005663AB" w:rsidRDefault="005663A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四、其他</w:t>
      </w:r>
    </w:p>
    <w:p w:rsidR="005663AB" w:rsidRDefault="005663AB" w:rsidP="005B55EA">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为提高研究生专项奖学金的获奖范围，原则上一名研究生不得重复申请同一项专项奖。</w:t>
      </w: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本办法由研究生院负责解释。</w:t>
      </w:r>
    </w:p>
    <w:p w:rsidR="005663AB" w:rsidRDefault="005663AB">
      <w:pPr>
        <w:ind w:firstLine="645"/>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本办法自印发之日起实施。</w:t>
      </w:r>
    </w:p>
    <w:p w:rsidR="005663AB" w:rsidRDefault="005663AB">
      <w:pPr>
        <w:ind w:firstLine="645"/>
        <w:rPr>
          <w:rFonts w:ascii="仿宋_GB2312" w:eastAsia="仿宋_GB2312" w:hAnsi="仿宋_GB2312" w:cs="仿宋_GB2312"/>
          <w:sz w:val="32"/>
          <w:szCs w:val="32"/>
        </w:rPr>
      </w:pPr>
    </w:p>
    <w:sectPr w:rsidR="005663AB" w:rsidSect="00CA6494">
      <w:footerReference w:type="default" r:id="rId7"/>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AB" w:rsidRDefault="005663AB" w:rsidP="00CA6494">
      <w:r>
        <w:separator/>
      </w:r>
    </w:p>
  </w:endnote>
  <w:endnote w:type="continuationSeparator" w:id="0">
    <w:p w:rsidR="005663AB" w:rsidRDefault="005663AB" w:rsidP="00CA6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AB" w:rsidRDefault="005663AB">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2</w:t>
    </w:r>
    <w:r>
      <w:rPr>
        <w:rStyle w:val="PageNumber"/>
        <w:sz w:val="21"/>
        <w:szCs w:val="21"/>
      </w:rPr>
      <w:fldChar w:fldCharType="end"/>
    </w:r>
  </w:p>
  <w:p w:rsidR="005663AB" w:rsidRDefault="0056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AB" w:rsidRDefault="005663AB" w:rsidP="00CA6494">
      <w:r>
        <w:separator/>
      </w:r>
    </w:p>
  </w:footnote>
  <w:footnote w:type="continuationSeparator" w:id="0">
    <w:p w:rsidR="005663AB" w:rsidRDefault="005663AB" w:rsidP="00CA6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7E9E2"/>
    <w:multiLevelType w:val="singleLevel"/>
    <w:tmpl w:val="5817E9E2"/>
    <w:lvl w:ilvl="0">
      <w:start w:val="1"/>
      <w:numFmt w:val="chineseCounting"/>
      <w:suff w:val="nothing"/>
      <w:lvlText w:val="%1、"/>
      <w:lvlJc w:val="left"/>
      <w:rPr>
        <w:rFonts w:cs="Times New Roman"/>
      </w:rPr>
    </w:lvl>
  </w:abstractNum>
  <w:abstractNum w:abstractNumId="1">
    <w:nsid w:val="5817E9F9"/>
    <w:multiLevelType w:val="singleLevel"/>
    <w:tmpl w:val="5817E9F9"/>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2A7"/>
    <w:rsid w:val="0004056D"/>
    <w:rsid w:val="00065306"/>
    <w:rsid w:val="000C129F"/>
    <w:rsid w:val="00217CAA"/>
    <w:rsid w:val="00237B0C"/>
    <w:rsid w:val="00251572"/>
    <w:rsid w:val="003D2D88"/>
    <w:rsid w:val="00424A89"/>
    <w:rsid w:val="004257DF"/>
    <w:rsid w:val="00476B17"/>
    <w:rsid w:val="005663AB"/>
    <w:rsid w:val="005B55EA"/>
    <w:rsid w:val="005F624E"/>
    <w:rsid w:val="00912109"/>
    <w:rsid w:val="00960DB8"/>
    <w:rsid w:val="009772A7"/>
    <w:rsid w:val="009B71FF"/>
    <w:rsid w:val="009C19D8"/>
    <w:rsid w:val="00A07A87"/>
    <w:rsid w:val="00A27002"/>
    <w:rsid w:val="00C55F65"/>
    <w:rsid w:val="00CA6494"/>
    <w:rsid w:val="00D07841"/>
    <w:rsid w:val="00EA662C"/>
    <w:rsid w:val="00EC600C"/>
    <w:rsid w:val="090E3D9C"/>
    <w:rsid w:val="0A7F0FC7"/>
    <w:rsid w:val="0EC707F1"/>
    <w:rsid w:val="150C207A"/>
    <w:rsid w:val="18934A2B"/>
    <w:rsid w:val="18FF0663"/>
    <w:rsid w:val="1F6D0ABD"/>
    <w:rsid w:val="236622FF"/>
    <w:rsid w:val="25E14425"/>
    <w:rsid w:val="27A77598"/>
    <w:rsid w:val="280D1844"/>
    <w:rsid w:val="28F150FB"/>
    <w:rsid w:val="312A1737"/>
    <w:rsid w:val="34EB6944"/>
    <w:rsid w:val="37C839A5"/>
    <w:rsid w:val="434A6063"/>
    <w:rsid w:val="444A5F7D"/>
    <w:rsid w:val="49FD4915"/>
    <w:rsid w:val="5098252E"/>
    <w:rsid w:val="52AA797B"/>
    <w:rsid w:val="550C4F16"/>
    <w:rsid w:val="55D00D18"/>
    <w:rsid w:val="591752F3"/>
    <w:rsid w:val="5BD76AB0"/>
    <w:rsid w:val="5EB6314B"/>
    <w:rsid w:val="60FA7D6F"/>
    <w:rsid w:val="66683656"/>
    <w:rsid w:val="66FE4587"/>
    <w:rsid w:val="6889628D"/>
    <w:rsid w:val="6C490352"/>
    <w:rsid w:val="6D5B5332"/>
    <w:rsid w:val="6E874E20"/>
    <w:rsid w:val="702D5223"/>
    <w:rsid w:val="743645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94"/>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A6494"/>
    <w:rPr>
      <w:sz w:val="18"/>
      <w:szCs w:val="18"/>
    </w:rPr>
  </w:style>
  <w:style w:type="character" w:customStyle="1" w:styleId="BalloonTextChar">
    <w:name w:val="Balloon Text Char"/>
    <w:basedOn w:val="DefaultParagraphFont"/>
    <w:link w:val="BalloonText"/>
    <w:uiPriority w:val="99"/>
    <w:semiHidden/>
    <w:locked/>
    <w:rsid w:val="00CA6494"/>
    <w:rPr>
      <w:rFonts w:ascii="Calibri" w:eastAsia="宋体" w:hAnsi="Calibri" w:cs="Times New Roman"/>
      <w:kern w:val="2"/>
      <w:sz w:val="18"/>
      <w:szCs w:val="18"/>
    </w:rPr>
  </w:style>
  <w:style w:type="paragraph" w:styleId="Footer">
    <w:name w:val="footer"/>
    <w:basedOn w:val="Normal"/>
    <w:link w:val="FooterChar"/>
    <w:uiPriority w:val="99"/>
    <w:rsid w:val="00CA64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6494"/>
    <w:rPr>
      <w:rFonts w:cs="Times New Roman"/>
      <w:sz w:val="18"/>
      <w:szCs w:val="18"/>
    </w:rPr>
  </w:style>
  <w:style w:type="paragraph" w:styleId="Header">
    <w:name w:val="header"/>
    <w:basedOn w:val="Normal"/>
    <w:link w:val="HeaderChar"/>
    <w:uiPriority w:val="99"/>
    <w:rsid w:val="00CA64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6494"/>
    <w:rPr>
      <w:rFonts w:cs="Times New Roman"/>
      <w:sz w:val="18"/>
      <w:szCs w:val="18"/>
    </w:rPr>
  </w:style>
  <w:style w:type="paragraph" w:styleId="Title">
    <w:name w:val="Title"/>
    <w:basedOn w:val="Normal"/>
    <w:next w:val="Normal"/>
    <w:link w:val="TitleChar"/>
    <w:uiPriority w:val="99"/>
    <w:qFormat/>
    <w:rsid w:val="00CA6494"/>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A6494"/>
    <w:rPr>
      <w:rFonts w:ascii="Cambria" w:eastAsia="宋体" w:hAnsi="Cambria" w:cs="Times New Roman"/>
      <w:b/>
      <w:bCs/>
      <w:sz w:val="32"/>
      <w:szCs w:val="32"/>
    </w:rPr>
  </w:style>
  <w:style w:type="character" w:styleId="Strong">
    <w:name w:val="Strong"/>
    <w:basedOn w:val="DefaultParagraphFont"/>
    <w:uiPriority w:val="99"/>
    <w:qFormat/>
    <w:rsid w:val="00CA6494"/>
    <w:rPr>
      <w:rFonts w:cs="Times New Roman"/>
      <w:b/>
    </w:rPr>
  </w:style>
  <w:style w:type="character" w:styleId="PageNumber">
    <w:name w:val="page number"/>
    <w:basedOn w:val="DefaultParagraphFont"/>
    <w:uiPriority w:val="99"/>
    <w:rsid w:val="00CA6494"/>
    <w:rPr>
      <w:rFonts w:cs="Times New Roman"/>
    </w:rPr>
  </w:style>
  <w:style w:type="character" w:customStyle="1" w:styleId="font01">
    <w:name w:val="font01"/>
    <w:basedOn w:val="DefaultParagraphFont"/>
    <w:uiPriority w:val="99"/>
    <w:rsid w:val="00CA6494"/>
    <w:rPr>
      <w:rFonts w:ascii="仿宋_GB2312" w:eastAsia="仿宋_GB2312" w:cs="仿宋_GB2312"/>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215</Words>
  <Characters>1230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褚晓岑</cp:lastModifiedBy>
  <cp:revision>4</cp:revision>
  <cp:lastPrinted>2016-11-15T06:22:00Z</cp:lastPrinted>
  <dcterms:created xsi:type="dcterms:W3CDTF">2016-10-25T02:33:00Z</dcterms:created>
  <dcterms:modified xsi:type="dcterms:W3CDTF">2016-11-16T06:58:00Z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